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7B9" w:rsidRPr="00DF5C02" w:rsidRDefault="00F967B9" w:rsidP="00DF5C02">
      <w:pPr>
        <w:spacing w:after="0" w:line="240" w:lineRule="auto"/>
        <w:jc w:val="center"/>
        <w:rPr>
          <w:rFonts w:ascii="Gill Sans MT" w:hAnsi="Gill Sans MT"/>
        </w:rPr>
      </w:pPr>
      <w:r w:rsidRPr="00DF5C02">
        <w:rPr>
          <w:rFonts w:ascii="Gill Sans MT" w:hAnsi="Gill Sans MT"/>
        </w:rPr>
        <w:t>DICHIARAZIONI SOSTITUTIVE DI CERTIFICAZIONI E DI ATTO DI NOTORIETÀ</w:t>
      </w:r>
    </w:p>
    <w:p w:rsidR="00F967B9" w:rsidRPr="00DF5C02" w:rsidRDefault="00F967B9" w:rsidP="00DF5C02">
      <w:pPr>
        <w:spacing w:after="0" w:line="240" w:lineRule="auto"/>
        <w:jc w:val="center"/>
        <w:rPr>
          <w:rFonts w:ascii="Gill Sans MT" w:hAnsi="Gill Sans MT"/>
        </w:rPr>
      </w:pPr>
      <w:r w:rsidRPr="00DF5C02">
        <w:rPr>
          <w:rFonts w:ascii="Gill Sans MT" w:hAnsi="Gill Sans MT"/>
        </w:rPr>
        <w:t>(artt.46 e 47 D.P.R. n.445/00)</w:t>
      </w:r>
    </w:p>
    <w:p w:rsidR="00F967B9" w:rsidRPr="00DF5C02" w:rsidRDefault="00F967B9" w:rsidP="00DF5C02">
      <w:pPr>
        <w:spacing w:after="0" w:line="360" w:lineRule="auto"/>
        <w:rPr>
          <w:rFonts w:ascii="Gill Sans MT" w:hAnsi="Gill Sans MT"/>
        </w:rPr>
      </w:pPr>
      <w:r w:rsidRPr="00DF5C02">
        <w:rPr>
          <w:rFonts w:ascii="Gill Sans MT" w:hAnsi="Gill Sans MT"/>
        </w:rPr>
        <w:t xml:space="preserve"> </w:t>
      </w:r>
    </w:p>
    <w:p w:rsidR="00F967B9" w:rsidRDefault="00F967B9" w:rsidP="00DF5C02">
      <w:pPr>
        <w:spacing w:after="0" w:line="360" w:lineRule="auto"/>
        <w:jc w:val="both"/>
        <w:rPr>
          <w:rFonts w:ascii="Gill Sans MT" w:hAnsi="Gill Sans MT"/>
        </w:rPr>
      </w:pPr>
      <w:r w:rsidRPr="00DF5C02">
        <w:rPr>
          <w:rFonts w:ascii="Gill Sans MT" w:hAnsi="Gill Sans MT"/>
        </w:rPr>
        <w:t>__1__sottoscritt_________________________________________________</w:t>
      </w:r>
      <w:r>
        <w:rPr>
          <w:rFonts w:ascii="Gill Sans MT" w:hAnsi="Gill Sans MT"/>
        </w:rPr>
        <w:t>______</w:t>
      </w:r>
      <w:r w:rsidRPr="00DF5C02">
        <w:rPr>
          <w:rFonts w:ascii="Gill Sans MT" w:hAnsi="Gill Sans MT"/>
        </w:rPr>
        <w:t xml:space="preserve">____nat____a </w:t>
      </w:r>
      <w:r>
        <w:rPr>
          <w:rFonts w:ascii="Gill Sans MT" w:hAnsi="Gill Sans MT"/>
        </w:rPr>
        <w:t>______________________</w:t>
      </w:r>
      <w:r w:rsidRPr="00DF5C02">
        <w:rPr>
          <w:rFonts w:ascii="Gill Sans MT" w:hAnsi="Gill Sans MT"/>
        </w:rPr>
        <w:t xml:space="preserve">______il___________ residente in ____________________________ Via_____________________________________________________n____ CAP________ </w:t>
      </w:r>
    </w:p>
    <w:p w:rsidR="00F967B9" w:rsidRDefault="00F967B9" w:rsidP="00DF5C02">
      <w:pPr>
        <w:spacing w:after="0" w:line="360" w:lineRule="auto"/>
        <w:jc w:val="both"/>
        <w:rPr>
          <w:rFonts w:ascii="Gill Sans MT" w:hAnsi="Gill Sans MT"/>
        </w:rPr>
      </w:pPr>
    </w:p>
    <w:p w:rsidR="00F967B9" w:rsidRPr="00DF5C02" w:rsidRDefault="00F967B9" w:rsidP="00DF5C02">
      <w:pPr>
        <w:spacing w:after="0" w:line="360" w:lineRule="auto"/>
        <w:jc w:val="both"/>
        <w:rPr>
          <w:rFonts w:ascii="Gill Sans MT" w:hAnsi="Gill Sans MT"/>
        </w:rPr>
      </w:pPr>
      <w:r w:rsidRPr="00DF5C02">
        <w:rPr>
          <w:rFonts w:ascii="Gill Sans MT" w:hAnsi="Gill Sans MT"/>
        </w:rPr>
        <w:t>con riferimento alla nomina di componente della Commissione di Valutazione dell’Avviso Pubblico, per titoli e colloquio, per il conferimento di un incarico di durata quinquennale, eventualmente rinnovabile di Direttore della UOC di…</w:t>
      </w:r>
      <w:r>
        <w:rPr>
          <w:rFonts w:ascii="Gill Sans MT" w:hAnsi="Gill Sans MT"/>
        </w:rPr>
        <w:t>…………………………………………….</w:t>
      </w:r>
      <w:r w:rsidRPr="00DF5C02">
        <w:rPr>
          <w:rFonts w:ascii="Gill Sans MT" w:hAnsi="Gill Sans MT"/>
        </w:rPr>
        <w:t>… disciplina di ………</w:t>
      </w:r>
      <w:r>
        <w:rPr>
          <w:rFonts w:ascii="Gill Sans MT" w:hAnsi="Gill Sans MT"/>
        </w:rPr>
        <w:t>….</w:t>
      </w:r>
      <w:r w:rsidRPr="00DF5C02">
        <w:rPr>
          <w:rFonts w:ascii="Gill Sans MT" w:hAnsi="Gill Sans MT"/>
        </w:rPr>
        <w:t>…</w:t>
      </w:r>
      <w:r>
        <w:rPr>
          <w:rFonts w:ascii="Gill Sans MT" w:hAnsi="Gill Sans MT"/>
        </w:rPr>
        <w:t>……..</w:t>
      </w:r>
      <w:r w:rsidRPr="00DF5C02">
        <w:rPr>
          <w:rFonts w:ascii="Gill Sans MT" w:hAnsi="Gill Sans MT"/>
        </w:rPr>
        <w:t>……………., indetto con deliberazione n. …</w:t>
      </w:r>
      <w:r>
        <w:rPr>
          <w:rFonts w:ascii="Gill Sans MT" w:hAnsi="Gill Sans MT"/>
        </w:rPr>
        <w:t>……...</w:t>
      </w:r>
      <w:r w:rsidRPr="00DF5C02">
        <w:rPr>
          <w:rFonts w:ascii="Gill Sans MT" w:hAnsi="Gill Sans MT"/>
        </w:rPr>
        <w:t xml:space="preserve">………. e pubblicato sul BURL n. </w:t>
      </w:r>
      <w:r>
        <w:rPr>
          <w:rFonts w:ascii="Gill Sans MT" w:hAnsi="Gill Sans MT"/>
        </w:rPr>
        <w:t>…………….</w:t>
      </w:r>
      <w:r w:rsidRPr="00DF5C02">
        <w:rPr>
          <w:rFonts w:ascii="Gill Sans MT" w:hAnsi="Gill Sans MT"/>
        </w:rPr>
        <w:t>….. del …</w:t>
      </w:r>
      <w:r>
        <w:rPr>
          <w:rFonts w:ascii="Gill Sans MT" w:hAnsi="Gill Sans MT"/>
        </w:rPr>
        <w:t>…………</w:t>
      </w:r>
      <w:r w:rsidRPr="00DF5C02">
        <w:rPr>
          <w:rFonts w:ascii="Gill Sans MT" w:hAnsi="Gill Sans MT"/>
        </w:rPr>
        <w:t>….. e sulla G.U. n. …</w:t>
      </w:r>
      <w:r>
        <w:rPr>
          <w:rFonts w:ascii="Gill Sans MT" w:hAnsi="Gill Sans MT"/>
        </w:rPr>
        <w:t>….</w:t>
      </w:r>
      <w:r w:rsidRPr="00DF5C02">
        <w:rPr>
          <w:rFonts w:ascii="Gill Sans MT" w:hAnsi="Gill Sans MT"/>
        </w:rPr>
        <w:t>……….Serie Speciale del ……</w:t>
      </w:r>
      <w:r>
        <w:rPr>
          <w:rFonts w:ascii="Gill Sans MT" w:hAnsi="Gill Sans MT"/>
        </w:rPr>
        <w:t>……….</w:t>
      </w:r>
      <w:r w:rsidRPr="00DF5C02">
        <w:rPr>
          <w:rFonts w:ascii="Gill Sans MT" w:hAnsi="Gill Sans MT"/>
        </w:rPr>
        <w:t xml:space="preserve">………,  consapevole, ai sensi di quanto disposto dall'art.76 del D.P.R. n.445/2000, delle sanzioni penali cui può andare incontro in caso di dichiarazioni mendaci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center"/>
        <w:rPr>
          <w:rFonts w:ascii="Gill Sans MT" w:hAnsi="Gill Sans MT"/>
        </w:rPr>
      </w:pPr>
      <w:r w:rsidRPr="00DF5C02">
        <w:rPr>
          <w:rFonts w:ascii="Gill Sans MT" w:hAnsi="Gill Sans MT"/>
        </w:rPr>
        <w:t>DICHIARA</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9A68DF" w:rsidP="009A68DF">
      <w:pPr>
        <w:spacing w:after="0" w:line="360" w:lineRule="auto"/>
        <w:ind w:left="426" w:hanging="426"/>
        <w:jc w:val="both"/>
        <w:rPr>
          <w:rFonts w:ascii="Gill Sans MT" w:hAnsi="Gill Sans MT"/>
        </w:rPr>
      </w:pPr>
      <w:r>
        <w:rPr>
          <w:rFonts w:ascii="Gill Sans MT" w:hAnsi="Gill Sans MT"/>
        </w:rPr>
        <w:t>- di essere</w:t>
      </w:r>
      <w:r w:rsidR="00F967B9" w:rsidRPr="00DF5C02">
        <w:rPr>
          <w:rFonts w:ascii="Gill Sans MT" w:hAnsi="Gill Sans MT"/>
        </w:rPr>
        <w:t xml:space="preserve"> a tutt’oggi dipendente dell’Azienda________________________________________ ______________________________, in qualità di titolare della seguente struttura complessa __________________________________________________________________________; </w:t>
      </w:r>
      <w:bookmarkStart w:id="0" w:name="_GoBack"/>
      <w:bookmarkEnd w:id="0"/>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w:t>
      </w:r>
      <w:r>
        <w:rPr>
          <w:rFonts w:ascii="Gill Sans MT" w:hAnsi="Gill Sans MT"/>
        </w:rPr>
        <w:tab/>
      </w:r>
      <w:r w:rsidRPr="00DF5C02">
        <w:rPr>
          <w:rFonts w:ascii="Gill Sans MT" w:hAnsi="Gill Sans MT"/>
        </w:rPr>
        <w:t xml:space="preserve">di non essere stato condannato, neppure con sentenza non passata in giudicato, per i reati previsti nel capo I del titolo II del libro secondo del codice penale, ex art. 35-bis, del D.lgs. n.165/2001 e s.m.i. recante disposizioni di “prevenzione del fenomeno della corruzione nella formazione di commissioni e nelle assegnazioni agli uffici”;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che non sussistono situazioni di incompatibilità ai sensi degli articoli 51 e 52 del codice di procedura civile con i candidati in calce elencati;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che non sussiste alcuna situazione di conflitto di interessi con i candidati in calce elencati in merito a pregressi rapporti di collaborazione continuativa in ambito universitario o di ricerca scientifica, atti a determinare una situazione di incompatibilità;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che, allo stato attuale, non sussiste alcuna causa che possa configurare, in capo al dichiarante, una situazione di conflitto di interessi, anche potenziale, tra l’incarico di commissario in rapporto ai candidati in calce elencati con impegno a dichiararne la sussistenza, qualora una delle predette cause dovesse sopravvenire successivamente all’assunzione dell’incarico medesimo ai sensi ex art. 6 bis l. 241/1990;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di non trovarsi in alcuna delle situazioni di incompatibilità previste nei Capi V e VI del D.lgs. n. 39/2013;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lastRenderedPageBreak/>
        <w:t xml:space="preserve"> - </w:t>
      </w:r>
      <w:r>
        <w:rPr>
          <w:rFonts w:ascii="Gill Sans MT" w:hAnsi="Gill Sans MT"/>
        </w:rPr>
        <w:tab/>
      </w:r>
      <w:r w:rsidRPr="00DF5C02">
        <w:rPr>
          <w:rFonts w:ascii="Gill Sans MT" w:hAnsi="Gill Sans MT"/>
        </w:rPr>
        <w:t xml:space="preserve">di non trovarsi in alcuna delle situazioni di inconferibilità di incarichi dirigenziali, e assimilati, descritte analiticamente nei Capi II, III e IV del D.lgs. n. 39/2013;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di non ricoprire cariche politiche e di non essere rappresentante sindacale – ex art.35 del D.lgs.n.165/2001 e s.m.i..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Roma,  _______________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Firma del dichiarante_______________________________________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(il dichiarante deve allegare alla dichiarazione fotocopia di un documento di riconoscimento in corso di validità) </w:t>
      </w:r>
    </w:p>
    <w:p w:rsidR="00F967B9" w:rsidRPr="00DF5C02" w:rsidRDefault="00F967B9" w:rsidP="00DF5C02">
      <w:pPr>
        <w:spacing w:after="0" w:line="360" w:lineRule="auto"/>
        <w:jc w:val="both"/>
        <w:rPr>
          <w:rFonts w:ascii="Gill Sans MT" w:hAnsi="Gill Sans MT"/>
        </w:rPr>
      </w:pP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Default="00F967B9" w:rsidP="00DF5C02">
      <w:pPr>
        <w:spacing w:after="0" w:line="240" w:lineRule="auto"/>
        <w:jc w:val="both"/>
        <w:rPr>
          <w:rFonts w:ascii="Gill Sans MT" w:hAnsi="Gill Sans MT"/>
        </w:rPr>
      </w:pPr>
      <w:r w:rsidRPr="00DF5C02">
        <w:rPr>
          <w:rFonts w:ascii="Gill Sans MT" w:hAnsi="Gill Sans MT"/>
        </w:rPr>
        <w:t xml:space="preserve"> Note </w:t>
      </w:r>
    </w:p>
    <w:p w:rsidR="00F967B9" w:rsidRPr="00DF5C02" w:rsidRDefault="00F967B9" w:rsidP="00DF5C02">
      <w:pPr>
        <w:spacing w:after="0" w:line="240" w:lineRule="auto"/>
        <w:jc w:val="both"/>
        <w:rPr>
          <w:rFonts w:ascii="Gill Sans MT" w:hAnsi="Gill Sans MT"/>
        </w:rPr>
      </w:pPr>
      <w:r>
        <w:rPr>
          <w:rFonts w:ascii="Gill Sans MT" w:hAnsi="Gill Sans MT"/>
        </w:rPr>
        <w:t>__________________________</w:t>
      </w:r>
    </w:p>
    <w:p w:rsidR="00F967B9" w:rsidRPr="00DF5C02" w:rsidRDefault="00F967B9" w:rsidP="00DF5C02">
      <w:pPr>
        <w:spacing w:after="0" w:line="240" w:lineRule="auto"/>
        <w:jc w:val="both"/>
        <w:rPr>
          <w:rFonts w:ascii="Gill Sans MT" w:hAnsi="Gill Sans MT"/>
        </w:rPr>
      </w:pPr>
      <w:r w:rsidRPr="00DF5C02">
        <w:rPr>
          <w:rFonts w:ascii="Gill Sans MT" w:hAnsi="Gill Sans MT"/>
        </w:rPr>
        <w:t xml:space="preserve">  </w:t>
      </w:r>
    </w:p>
    <w:p w:rsidR="00F967B9" w:rsidRDefault="00F967B9" w:rsidP="00DF5C02">
      <w:pPr>
        <w:spacing w:after="0" w:line="360" w:lineRule="auto"/>
        <w:jc w:val="both"/>
        <w:rPr>
          <w:rFonts w:ascii="Gill Sans MT" w:hAnsi="Gill Sans MT"/>
        </w:rPr>
      </w:pPr>
      <w:r w:rsidRPr="00DF5C02">
        <w:rPr>
          <w:rFonts w:ascii="Gill Sans MT" w:hAnsi="Gill Sans MT"/>
        </w:rPr>
        <w:t>1</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L’art. 35-bis, comma 1, del d.lgs. n. 165/2001 e s.m.i. stabilisce che “Coloro che sono stati condannati, anche con sentenza non passata in giudicato, per i reati previsti nel capo I del titolo II del libro secondo del codice penale: a) non possono fare parte, anche con compiti di segreteria, di commissioni per l’accesso o la selezione a pubblici impieghi; 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 c) non possono fare parte delle commissioni per la scelta del contraente per l’affidamento di lavori, forniture e servizi, per la concessione o l’erogazione di sovvenzioni, contributi, sussidi, ausili finanziari, nonché per l’attribuzione di vantaggi economici di qualunque genere.” Il comma 2 del medesimo articolo prevede che “La disposizione prevista al comma l integra le leggi e regolamenti che disciplinano la formazione di commissioni e la nomina dei relativi segretari” (aggiunto dalla Legge 6 novembre 2012, n. 190). </w:t>
      </w:r>
    </w:p>
    <w:p w:rsidR="00F967B9"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Default="00F967B9" w:rsidP="00DF5C02">
      <w:pPr>
        <w:spacing w:after="0" w:line="360" w:lineRule="auto"/>
        <w:jc w:val="both"/>
        <w:rPr>
          <w:rFonts w:ascii="Gill Sans MT" w:hAnsi="Gill Sans MT"/>
        </w:rPr>
      </w:pPr>
      <w:r w:rsidRPr="00DF5C02">
        <w:rPr>
          <w:rFonts w:ascii="Gill Sans MT" w:hAnsi="Gill Sans MT"/>
        </w:rPr>
        <w:t xml:space="preserve">2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L’art. 6 del D.p.r. n. 62/2013 (Codice di comportamento dei dipendenti pubblici) fornisce la seguente definizione di conflitto di interessi: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w:t>
      </w:r>
      <w:r w:rsidRPr="00DF5C02">
        <w:rPr>
          <w:rFonts w:ascii="Gill Sans MT" w:hAnsi="Gill Sans MT"/>
        </w:rPr>
        <w:lastRenderedPageBreak/>
        <w:t xml:space="preserve">agente, ovvero di enti, associazioni anche non riconosciute, comitati, società o stabilimenti di cui egli sia amministratore o gerente o dirigente. Il dipendente si astiene in ogni altro caso in cui esistano gravi ragioni di convenienza. Sull'astensione decide il responsabile dell’ufficio di appartenenza.” </w:t>
      </w:r>
    </w:p>
    <w:p w:rsidR="00F967B9" w:rsidRDefault="00F967B9" w:rsidP="00DF5C02">
      <w:pPr>
        <w:spacing w:after="0" w:line="360" w:lineRule="auto"/>
        <w:jc w:val="both"/>
        <w:rPr>
          <w:rFonts w:ascii="Gill Sans MT" w:hAnsi="Gill Sans MT"/>
        </w:rPr>
      </w:pPr>
      <w:r w:rsidRPr="00DF5C02">
        <w:rPr>
          <w:rFonts w:ascii="Gill Sans MT" w:hAnsi="Gill Sans MT"/>
        </w:rPr>
        <w:t xml:space="preserve">3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L’art. 35del D.lgs. n. 165/2001 e s.m.i. al comma 3 lett. e) stabilisce che “Le procedure di reclutamento nelle pubbliche amministrazioni si conformano ai seguenti principi:…omissis… composizione delle commissioni esclusivamente con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 </w:t>
      </w:r>
    </w:p>
    <w:p w:rsidR="00F967B9" w:rsidRDefault="00F967B9" w:rsidP="00DF5C02">
      <w:pPr>
        <w:spacing w:after="0" w:line="360" w:lineRule="auto"/>
        <w:jc w:val="both"/>
        <w:rPr>
          <w:rFonts w:ascii="Gill Sans MT" w:hAnsi="Gill Sans MT"/>
        </w:rPr>
      </w:pPr>
      <w:r w:rsidRPr="00DF5C02">
        <w:rPr>
          <w:rFonts w:ascii="Gill Sans MT" w:hAnsi="Gill Sans MT"/>
        </w:rPr>
        <w:t xml:space="preserve">4 </w:t>
      </w:r>
    </w:p>
    <w:p w:rsidR="00F967B9" w:rsidRDefault="00F967B9" w:rsidP="00DF5C02">
      <w:pPr>
        <w:spacing w:after="0" w:line="360" w:lineRule="auto"/>
        <w:jc w:val="both"/>
        <w:rPr>
          <w:rFonts w:ascii="Gill Sans MT" w:hAnsi="Gill Sans MT"/>
        </w:rPr>
      </w:pPr>
      <w:r w:rsidRPr="00DF5C02">
        <w:rPr>
          <w:rFonts w:ascii="Gill Sans MT" w:hAnsi="Gill Sans MT"/>
        </w:rPr>
        <w:t>L’art. 6 bis della legge 241/90 stabilisce che “Il responsabile del procedimento e i titolari degli uffici competenti ad adottare i pareri, le valutazioni tecniche, gli atti endoprocedimentali e il provvedimento finale devono astenersi in caso di conflitto d’interesse, segnalando ogni situazione di conflitto, anche potenziale”</w:t>
      </w:r>
      <w:r>
        <w:rPr>
          <w:rFonts w:ascii="Gill Sans MT" w:hAnsi="Gill Sans MT"/>
        </w:rPr>
        <w:t>.</w:t>
      </w:r>
    </w:p>
    <w:p w:rsidR="00F967B9" w:rsidRPr="00DF5C02" w:rsidRDefault="00F967B9" w:rsidP="00DF5C02">
      <w:pPr>
        <w:spacing w:after="0" w:line="360" w:lineRule="auto"/>
        <w:jc w:val="both"/>
        <w:rPr>
          <w:rFonts w:ascii="Gill Sans MT" w:hAnsi="Gill Sans MT"/>
        </w:rPr>
      </w:pPr>
      <w:r>
        <w:rPr>
          <w:rFonts w:ascii="Gill Sans MT" w:hAnsi="Gill Sans MT"/>
        </w:rPr>
        <w:t>______________________________________________________________________________</w:t>
      </w:r>
    </w:p>
    <w:sectPr w:rsidR="00F967B9" w:rsidRPr="00DF5C02" w:rsidSect="004E1E1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D17" w:rsidRDefault="00967D17" w:rsidP="00DF5C02">
      <w:pPr>
        <w:spacing w:after="0" w:line="240" w:lineRule="auto"/>
      </w:pPr>
      <w:r>
        <w:separator/>
      </w:r>
    </w:p>
  </w:endnote>
  <w:endnote w:type="continuationSeparator" w:id="0">
    <w:p w:rsidR="00967D17" w:rsidRDefault="00967D17" w:rsidP="00DF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rsidP="00DF5C02">
    <w:pPr>
      <w:pStyle w:val="Pidipagina"/>
      <w:jc w:val="right"/>
    </w:pPr>
    <w:r w:rsidRPr="00DF5C02">
      <w:rPr>
        <w:rFonts w:ascii="Gill Sans MT" w:hAnsi="Gill Sans MT"/>
        <w:sz w:val="16"/>
        <w:szCs w:val="16"/>
      </w:rPr>
      <w:t xml:space="preserve">Pag. </w:t>
    </w:r>
    <w:r w:rsidRPr="00DF5C02">
      <w:rPr>
        <w:rFonts w:ascii="Gill Sans MT" w:hAnsi="Gill Sans MT"/>
        <w:b/>
        <w:bCs/>
        <w:sz w:val="16"/>
        <w:szCs w:val="16"/>
      </w:rPr>
      <w:fldChar w:fldCharType="begin"/>
    </w:r>
    <w:r w:rsidRPr="00DF5C02">
      <w:rPr>
        <w:rFonts w:ascii="Gill Sans MT" w:hAnsi="Gill Sans MT"/>
        <w:b/>
        <w:bCs/>
        <w:sz w:val="16"/>
        <w:szCs w:val="16"/>
      </w:rPr>
      <w:instrText>PAGE</w:instrText>
    </w:r>
    <w:r w:rsidRPr="00DF5C02">
      <w:rPr>
        <w:rFonts w:ascii="Gill Sans MT" w:hAnsi="Gill Sans MT"/>
        <w:b/>
        <w:bCs/>
        <w:sz w:val="16"/>
        <w:szCs w:val="16"/>
      </w:rPr>
      <w:fldChar w:fldCharType="separate"/>
    </w:r>
    <w:r w:rsidR="009A68DF">
      <w:rPr>
        <w:rFonts w:ascii="Gill Sans MT" w:hAnsi="Gill Sans MT"/>
        <w:b/>
        <w:bCs/>
        <w:noProof/>
        <w:sz w:val="16"/>
        <w:szCs w:val="16"/>
      </w:rPr>
      <w:t>1</w:t>
    </w:r>
    <w:r w:rsidRPr="00DF5C02">
      <w:rPr>
        <w:rFonts w:ascii="Gill Sans MT" w:hAnsi="Gill Sans MT"/>
        <w:b/>
        <w:bCs/>
        <w:sz w:val="16"/>
        <w:szCs w:val="16"/>
      </w:rPr>
      <w:fldChar w:fldCharType="end"/>
    </w:r>
    <w:r w:rsidRPr="00DF5C02">
      <w:rPr>
        <w:rFonts w:ascii="Gill Sans MT" w:hAnsi="Gill Sans MT"/>
        <w:sz w:val="16"/>
        <w:szCs w:val="16"/>
      </w:rPr>
      <w:t xml:space="preserve"> a </w:t>
    </w:r>
    <w:r w:rsidRPr="00DF5C02">
      <w:rPr>
        <w:rFonts w:ascii="Gill Sans MT" w:hAnsi="Gill Sans MT"/>
        <w:b/>
        <w:bCs/>
        <w:sz w:val="16"/>
        <w:szCs w:val="16"/>
      </w:rPr>
      <w:fldChar w:fldCharType="begin"/>
    </w:r>
    <w:r w:rsidRPr="00DF5C02">
      <w:rPr>
        <w:rFonts w:ascii="Gill Sans MT" w:hAnsi="Gill Sans MT"/>
        <w:b/>
        <w:bCs/>
        <w:sz w:val="16"/>
        <w:szCs w:val="16"/>
      </w:rPr>
      <w:instrText>NUMPAGES</w:instrText>
    </w:r>
    <w:r w:rsidRPr="00DF5C02">
      <w:rPr>
        <w:rFonts w:ascii="Gill Sans MT" w:hAnsi="Gill Sans MT"/>
        <w:b/>
        <w:bCs/>
        <w:sz w:val="16"/>
        <w:szCs w:val="16"/>
      </w:rPr>
      <w:fldChar w:fldCharType="separate"/>
    </w:r>
    <w:r w:rsidR="009A68DF">
      <w:rPr>
        <w:rFonts w:ascii="Gill Sans MT" w:hAnsi="Gill Sans MT"/>
        <w:b/>
        <w:bCs/>
        <w:noProof/>
        <w:sz w:val="16"/>
        <w:szCs w:val="16"/>
      </w:rPr>
      <w:t>3</w:t>
    </w:r>
    <w:r w:rsidRPr="00DF5C02">
      <w:rPr>
        <w:rFonts w:ascii="Gill Sans MT" w:hAnsi="Gill Sans MT"/>
        <w:b/>
        <w:bCs/>
        <w:sz w:val="16"/>
        <w:szCs w:val="16"/>
      </w:rPr>
      <w:fldChar w:fldCharType="end"/>
    </w:r>
  </w:p>
  <w:p w:rsidR="00F967B9" w:rsidRDefault="00F967B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D17" w:rsidRDefault="00967D17" w:rsidP="00DF5C02">
      <w:pPr>
        <w:spacing w:after="0" w:line="240" w:lineRule="auto"/>
      </w:pPr>
      <w:r>
        <w:separator/>
      </w:r>
    </w:p>
  </w:footnote>
  <w:footnote w:type="continuationSeparator" w:id="0">
    <w:p w:rsidR="00967D17" w:rsidRDefault="00967D17" w:rsidP="00DF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rsidP="00AF2C10">
    <w:pPr>
      <w:pStyle w:val="Intestazione"/>
      <w:jc w:val="right"/>
    </w:pPr>
    <w:r>
      <w:t>Allegato n.1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B9B"/>
    <w:rsid w:val="0039021C"/>
    <w:rsid w:val="00437E40"/>
    <w:rsid w:val="004A0E55"/>
    <w:rsid w:val="004E1E1A"/>
    <w:rsid w:val="00502F4E"/>
    <w:rsid w:val="005C1E0B"/>
    <w:rsid w:val="005E6EDD"/>
    <w:rsid w:val="00606900"/>
    <w:rsid w:val="006A138B"/>
    <w:rsid w:val="006E4BE5"/>
    <w:rsid w:val="00761B9B"/>
    <w:rsid w:val="00771DFF"/>
    <w:rsid w:val="00803B72"/>
    <w:rsid w:val="00967D17"/>
    <w:rsid w:val="009A68DF"/>
    <w:rsid w:val="00A7588D"/>
    <w:rsid w:val="00AF2C10"/>
    <w:rsid w:val="00DF5C02"/>
    <w:rsid w:val="00DF7534"/>
    <w:rsid w:val="00F96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72BBB0"/>
  <w15:docId w15:val="{B34DE86C-804E-4FE9-8D18-1D2FF688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1E1A"/>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F5C02"/>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DF5C02"/>
    <w:rPr>
      <w:rFonts w:cs="Times New Roman"/>
    </w:rPr>
  </w:style>
  <w:style w:type="paragraph" w:styleId="Pidipagina">
    <w:name w:val="footer"/>
    <w:basedOn w:val="Normale"/>
    <w:link w:val="PidipaginaCarattere"/>
    <w:uiPriority w:val="99"/>
    <w:rsid w:val="00DF5C02"/>
    <w:pPr>
      <w:tabs>
        <w:tab w:val="center" w:pos="4819"/>
        <w:tab w:val="right" w:pos="9638"/>
      </w:tabs>
      <w:spacing w:after="0" w:line="240" w:lineRule="auto"/>
    </w:pPr>
  </w:style>
  <w:style w:type="character" w:customStyle="1" w:styleId="PidipaginaCarattere">
    <w:name w:val="Piè di pagina Carattere"/>
    <w:link w:val="Pidipagina"/>
    <w:uiPriority w:val="99"/>
    <w:locked/>
    <w:rsid w:val="00DF5C02"/>
    <w:rPr>
      <w:rFonts w:cs="Times New Roman"/>
    </w:rPr>
  </w:style>
  <w:style w:type="paragraph" w:styleId="Testofumetto">
    <w:name w:val="Balloon Text"/>
    <w:basedOn w:val="Normale"/>
    <w:link w:val="TestofumettoCarattere"/>
    <w:uiPriority w:val="99"/>
    <w:semiHidden/>
    <w:rsid w:val="00606900"/>
    <w:rPr>
      <w:rFonts w:ascii="Tahoma" w:hAnsi="Tahoma" w:cs="Tahoma"/>
      <w:sz w:val="16"/>
      <w:szCs w:val="16"/>
    </w:rPr>
  </w:style>
  <w:style w:type="character" w:customStyle="1" w:styleId="TestofumettoCarattere">
    <w:name w:val="Testo fumetto Carattere"/>
    <w:link w:val="Testofumetto"/>
    <w:uiPriority w:val="99"/>
    <w:semiHidden/>
    <w:rsid w:val="00B02998"/>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938</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romeo</dc:creator>
  <cp:keywords/>
  <dc:description/>
  <cp:lastModifiedBy>Emanuele Nori</cp:lastModifiedBy>
  <cp:revision>12</cp:revision>
  <cp:lastPrinted>2025-04-16T07:08:00Z</cp:lastPrinted>
  <dcterms:created xsi:type="dcterms:W3CDTF">2019-08-20T16:44:00Z</dcterms:created>
  <dcterms:modified xsi:type="dcterms:W3CDTF">2026-01-27T10:36:00Z</dcterms:modified>
</cp:coreProperties>
</file>